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Платформа «</w:t>
      </w:r>
      <w:r>
        <w:rPr>
          <w:rFonts w:ascii="Times New Roman" w:hAnsi="Times New Roman"/>
          <w:b w:val="1"/>
          <w:sz w:val="28"/>
        </w:rPr>
        <w:t>ГосЛог</w:t>
      </w:r>
      <w:r>
        <w:rPr>
          <w:rFonts w:ascii="Times New Roman" w:hAnsi="Times New Roman"/>
          <w:b w:val="1"/>
          <w:sz w:val="28"/>
        </w:rPr>
        <w:t>» для перевозчиков — новые правила работы с 2026–2027 гг.</w:t>
      </w:r>
    </w:p>
    <w:p w14:paraId="0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Что такое «</w:t>
      </w:r>
      <w:r>
        <w:rPr>
          <w:rFonts w:ascii="Times New Roman" w:hAnsi="Times New Roman"/>
          <w:sz w:val="28"/>
        </w:rPr>
        <w:t>ГосЛог</w:t>
      </w:r>
      <w:r>
        <w:rPr>
          <w:rFonts w:ascii="Times New Roman" w:hAnsi="Times New Roman"/>
          <w:sz w:val="28"/>
        </w:rPr>
        <w:t>» и зачем он создан</w:t>
      </w:r>
    </w:p>
    <w:p w14:paraId="0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ГосЛог</w:t>
      </w:r>
      <w:r>
        <w:rPr>
          <w:rFonts w:ascii="Times New Roman" w:hAnsi="Times New Roman"/>
          <w:sz w:val="28"/>
        </w:rPr>
        <w:t>» — это национальная цифровая транспортно-логистическая платформа, оператором которой выступает Минтранс России. Платформа утверждена Постановлением Правительства РФ от 14.02.2026 № 139 и начала работу 1 марта 2026 года.</w:t>
      </w:r>
    </w:p>
    <w:p w14:paraId="0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Ключевые цели платформы:</w:t>
      </w:r>
    </w:p>
    <w:p w14:paraId="05000000">
      <w:pPr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перевод разрозненных бумажных процедур в единый цифровой контур;</w:t>
      </w:r>
    </w:p>
    <w:p w14:paraId="06000000">
      <w:pPr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ускорение оформления перевозок;</w:t>
      </w:r>
    </w:p>
    <w:p w14:paraId="07000000">
      <w:pPr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прозрачности логистики и снижение возможностей для «серых» схем;</w:t>
      </w:r>
    </w:p>
    <w:p w14:paraId="08000000">
      <w:pPr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сквозная цифровая прослеживаемость грузов.</w:t>
      </w:r>
    </w:p>
    <w:p w14:paraId="0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оценкам экспертов, до 60% объёма грузовых автоперевозок сегодня находится в «серой» зоне, что лишает бюджет колоссальных налоговых поступлений. «</w:t>
      </w:r>
      <w:r>
        <w:rPr>
          <w:rFonts w:ascii="Times New Roman" w:hAnsi="Times New Roman"/>
          <w:sz w:val="28"/>
        </w:rPr>
        <w:t>ГосЛог</w:t>
      </w:r>
      <w:r>
        <w:rPr>
          <w:rFonts w:ascii="Times New Roman" w:hAnsi="Times New Roman"/>
          <w:sz w:val="28"/>
        </w:rPr>
        <w:t>» призван вывести отрасль из тени.</w:t>
      </w: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Ключевое различие: «</w:t>
      </w:r>
      <w:r>
        <w:rPr>
          <w:rFonts w:ascii="Times New Roman" w:hAnsi="Times New Roman"/>
          <w:sz w:val="28"/>
        </w:rPr>
        <w:t>ГосЛог</w:t>
      </w:r>
      <w:r>
        <w:rPr>
          <w:rFonts w:ascii="Times New Roman" w:hAnsi="Times New Roman"/>
          <w:sz w:val="28"/>
        </w:rPr>
        <w:t>» и ГИС ЭПД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Важно не путать две системы, которые часто смешивают:</w:t>
      </w: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120"/>
        <w:gridCol w:w="3545"/>
        <w:gridCol w:w="3968"/>
      </w:tblGrid>
      <w:tr>
        <w:trPr>
          <w:tblHeader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0C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Критерий</w:t>
            </w:r>
          </w:p>
        </w:tc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0D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ГИС ЭПД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0E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ГосЛог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</w:tr>
      <w:t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0F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Назначение</w:t>
            </w:r>
          </w:p>
        </w:tc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0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Цифровой документооборот перевозочных документов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11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Реестр допуска участников рынка (экспедиторов и перевозчиков)</w:t>
            </w:r>
          </w:p>
        </w:tc>
      </w:tr>
      <w:t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12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Что регулирует</w:t>
            </w:r>
          </w:p>
        </w:tc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3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Конкретную перевозку (накладные, заказы, заявки)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14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Легальность деятельности компании</w:t>
            </w:r>
          </w:p>
        </w:tc>
      </w:tr>
      <w:t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15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Обязательность</w:t>
            </w:r>
          </w:p>
        </w:tc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6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1 сентября 2026 года — для </w:t>
            </w:r>
            <w:r>
              <w:rPr>
                <w:rFonts w:ascii="Times New Roman" w:hAnsi="Times New Roman"/>
                <w:sz w:val="28"/>
              </w:rPr>
              <w:t>ЭТрН</w:t>
            </w:r>
            <w:r>
              <w:rPr>
                <w:rFonts w:ascii="Times New Roman" w:hAnsi="Times New Roman"/>
                <w:sz w:val="28"/>
              </w:rPr>
              <w:t>, заказов-заявок и экспедиторских документов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17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Экспедиторы — с 1 марта 2026 года; перевозчики — с 1 марта 2027 года</w:t>
            </w:r>
          </w:p>
        </w:tc>
      </w:tr>
      <w:t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18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 подключаться</w:t>
            </w:r>
          </w:p>
        </w:tc>
        <w:tc>
          <w:tcPr>
            <w:tcW w:type="dxa" w:w="3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19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Через оператора ИС ЭПД (СБИС, Контур, </w:t>
            </w:r>
            <w:r>
              <w:rPr>
                <w:rFonts w:ascii="Times New Roman" w:hAnsi="Times New Roman"/>
                <w:sz w:val="28"/>
              </w:rPr>
              <w:t>Такском</w:t>
            </w:r>
            <w:r>
              <w:rPr>
                <w:rFonts w:ascii="Times New Roman" w:hAnsi="Times New Roman"/>
                <w:sz w:val="28"/>
              </w:rPr>
              <w:t>, Астрал и др.)</w:t>
            </w:r>
          </w:p>
        </w:tc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1A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Через личный кабинет на портале Госуслуг</w:t>
            </w:r>
          </w:p>
        </w:tc>
      </w:tr>
    </w:tbl>
    <w:p w14:paraId="1B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ГосЛог</w:t>
      </w:r>
      <w:r>
        <w:rPr>
          <w:rFonts w:ascii="Times New Roman" w:hAnsi="Times New Roman"/>
          <w:sz w:val="28"/>
        </w:rPr>
        <w:t>» отвечает за допуск компании на рынок, а ГИС ЭПД — за документооборот конкретной перевозки.</w:t>
      </w:r>
    </w:p>
    <w:p w14:paraId="1C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Реестр экспедиторов: уже действует</w:t>
      </w:r>
    </w:p>
    <w:p w14:paraId="1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1 марта 2026 года все транспортно-экспедиционные компании обязаны быть в реестре на платформе «</w:t>
      </w:r>
      <w:r>
        <w:rPr>
          <w:rFonts w:ascii="Times New Roman" w:hAnsi="Times New Roman"/>
          <w:sz w:val="28"/>
        </w:rPr>
        <w:t>ГосЛог</w:t>
      </w:r>
      <w:r>
        <w:rPr>
          <w:rFonts w:ascii="Times New Roman" w:hAnsi="Times New Roman"/>
          <w:sz w:val="28"/>
        </w:rPr>
        <w:t>». Работа без регистрации после 1 мая 2026 года является нарушением.</w:t>
      </w:r>
    </w:p>
    <w:p w14:paraId="1E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Штрафы:</w:t>
      </w:r>
    </w:p>
    <w:p w14:paraId="1F000000">
      <w:pPr>
        <w:widowControl w:val="1"/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организаций — от 100 000 до 300 000 рублей;</w:t>
      </w:r>
    </w:p>
    <w:p w14:paraId="20000000">
      <w:pPr>
        <w:widowControl w:val="1"/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повторном нарушении — от 500 000 до 1 000 000 рублей.</w:t>
      </w:r>
    </w:p>
    <w:p w14:paraId="2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для заказчика: помимо риска работы с недобросовестным контрагентом, налоговая может признать расходы на услуги незарегистрированного экспедитора неподтверждёнными (ст. 54.1 НК РФ).</w:t>
      </w:r>
    </w:p>
    <w:p w14:paraId="22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делать: перед заключением договора проверяйте наличие экспедитора в реестре на сайте Минтранса.</w:t>
      </w:r>
    </w:p>
    <w:p w14:paraId="2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Реестр перевозчиков: обязательная регистрация с 1 марта 2027 года</w:t>
      </w:r>
    </w:p>
    <w:p w14:paraId="24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Кто обязан зарегистрироваться</w:t>
      </w:r>
    </w:p>
    <w:p w14:paraId="25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Регистрация обязательна для юридических лиц и ИП, которые соответствуют одновременно трём критериям:</w:t>
      </w:r>
    </w:p>
    <w:p w14:paraId="26000000">
      <w:pPr>
        <w:widowControl w:val="1"/>
        <w:numPr>
          <w:ilvl w:val="0"/>
          <w:numId w:val="3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используют грузовые автомобили грузоподъёмностью свыше 3,5 тонн;</w:t>
      </w:r>
    </w:p>
    <w:p w14:paraId="27000000">
      <w:pPr>
        <w:widowControl w:val="1"/>
        <w:numPr>
          <w:ilvl w:val="0"/>
          <w:numId w:val="3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осуществляют коммерческие перевозки за плату;</w:t>
      </w:r>
    </w:p>
    <w:p w14:paraId="28000000">
      <w:pPr>
        <w:widowControl w:val="1"/>
        <w:numPr>
          <w:ilvl w:val="0"/>
          <w:numId w:val="3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транспорт выезжает на дороги общего пользования.</w:t>
      </w:r>
    </w:p>
    <w:p w14:paraId="2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Кто освобождён от регистрации</w:t>
      </w:r>
    </w:p>
    <w:p w14:paraId="2A000000">
      <w:pPr>
        <w:widowControl w:val="1"/>
        <w:numPr>
          <w:ilvl w:val="0"/>
          <w:numId w:val="4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Самозанятые — не обязаны регистрироваться, поскольку для осуществления деятельности по перевозке требуется статус индивидуального предпринимателя.</w:t>
      </w:r>
    </w:p>
    <w:p w14:paraId="2B000000">
      <w:pPr>
        <w:widowControl w:val="1"/>
        <w:numPr>
          <w:ilvl w:val="0"/>
          <w:numId w:val="4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Компании, перевозящие собственные грузы на собственном или арендованном без экипажа транспорте — регистрация не требуется.</w:t>
      </w:r>
    </w:p>
    <w:p w14:paraId="2C000000">
      <w:pPr>
        <w:widowControl w:val="1"/>
        <w:numPr>
          <w:ilvl w:val="0"/>
          <w:numId w:val="4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Перевозчики на транспорте до 3,5 тонн — обязанность по регистрации для них пока не установлена.</w:t>
      </w:r>
    </w:p>
    <w:p w14:paraId="2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 Требования к перевозчику для включения в реестр</w:t>
      </w:r>
    </w:p>
    <w:p w14:paraId="2E000000">
      <w:pPr>
        <w:widowControl w:val="1"/>
        <w:numPr>
          <w:ilvl w:val="0"/>
          <w:numId w:val="5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непогашенной или неснятой судимости за преступления в сфере экономической деятельности у руководителя организации или у ИП;</w:t>
      </w:r>
    </w:p>
    <w:p w14:paraId="2F000000">
      <w:pPr>
        <w:widowControl w:val="1"/>
        <w:numPr>
          <w:ilvl w:val="0"/>
          <w:numId w:val="5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в течение одного года двух и более фактов привлечения к административной ответственности за нарушение обязательных требований в сфере перевозок.</w:t>
      </w:r>
    </w:p>
    <w:p w14:paraId="3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 Пошаговая инструкция по регистрации</w:t>
      </w:r>
    </w:p>
    <w:p w14:paraId="3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Шаг 1. Подготовка документов. Потребуется усиленная квалифицированная электронная подпись (УКЭП) на руководителя организации или ИП.</w:t>
      </w:r>
    </w:p>
    <w:p w14:paraId="32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Шаг 2. Подача уведомления через Госуслуги. Регистрация осуществляется через личный кабинет юридического лица или ИП на портале Госуслуг. Необходимо направить в Ространснадзор уведомление о начале деятельности.</w:t>
      </w:r>
    </w:p>
    <w:p w14:paraId="3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Шаг 3. Указание необходимых сведений:</w:t>
      </w:r>
    </w:p>
    <w:p w14:paraId="34000000">
      <w:pPr>
        <w:widowControl w:val="1"/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данные о компании: название, ОГРН/ОГРНИП, ИНН, адрес, телефон, </w:t>
      </w:r>
      <w:r>
        <w:rPr>
          <w:rFonts w:ascii="Times New Roman" w:hAnsi="Times New Roman"/>
          <w:sz w:val="28"/>
        </w:rPr>
        <w:t>email</w:t>
      </w:r>
      <w:r>
        <w:rPr>
          <w:rFonts w:ascii="Times New Roman" w:hAnsi="Times New Roman"/>
          <w:sz w:val="28"/>
        </w:rPr>
        <w:t>;</w:t>
      </w:r>
    </w:p>
    <w:p w14:paraId="35000000">
      <w:pPr>
        <w:widowControl w:val="1"/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транспортных средствах: марка, модель, год выпуска, государственный регистрационный номер, технически допустимая максимальная масса;</w:t>
      </w:r>
    </w:p>
    <w:p w14:paraId="36000000">
      <w:pPr>
        <w:widowControl w:val="1"/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данные о владении транспортом: реквизиты договора аренды или лизинга (если автомобиль не в собственности);</w:t>
      </w:r>
    </w:p>
    <w:p w14:paraId="37000000">
      <w:pPr>
        <w:widowControl w:val="1"/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специалисте по безопасности дорожного движения: ФИО и подтверждение аттестации;</w:t>
      </w:r>
    </w:p>
    <w:p w14:paraId="38000000">
      <w:pPr>
        <w:widowControl w:val="1"/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перевозимых грузах: предельные значения массы, габаритов, наименования территорий, возможность перевозки опасных, скоропортящихся, крупногабаритных и тяжеловесных грузов;</w:t>
      </w:r>
    </w:p>
    <w:p w14:paraId="39000000">
      <w:pPr>
        <w:widowControl w:val="1"/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страховая сумма груза.</w:t>
      </w:r>
    </w:p>
    <w:p w14:paraId="3A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Шаг 4. Рассмотрение заявки. Ространснадзор рассматривает заявку и направляет в личный кабинет на Госуслугах выписку из реестра.</w:t>
      </w:r>
    </w:p>
    <w:p w14:paraId="3B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Основания для отказа в регистрации. Ространснадзор может отказать, если перевозчик:</w:t>
      </w:r>
    </w:p>
    <w:p w14:paraId="3C000000">
      <w:pPr>
        <w:widowControl w:val="1"/>
        <w:numPr>
          <w:ilvl w:val="0"/>
          <w:numId w:val="7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указал недостоверные сведения о себе;</w:t>
      </w:r>
    </w:p>
    <w:p w14:paraId="3D000000">
      <w:pPr>
        <w:widowControl w:val="1"/>
        <w:numPr>
          <w:ilvl w:val="0"/>
          <w:numId w:val="7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уже зарегистрирован в реестре, в том числе в реестре российских перевозчиков, допущенных к международным автомобильным перевозкам;</w:t>
      </w:r>
    </w:p>
    <w:p w14:paraId="3E000000">
      <w:pPr>
        <w:widowControl w:val="1"/>
        <w:numPr>
          <w:ilvl w:val="0"/>
          <w:numId w:val="7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зарегистрирован в ЕГРЮЛ/ЕГРИП или ликвидирован;</w:t>
      </w:r>
    </w:p>
    <w:p w14:paraId="3F000000">
      <w:pPr>
        <w:widowControl w:val="1"/>
        <w:numPr>
          <w:ilvl w:val="0"/>
          <w:numId w:val="7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указал информацию о своих транспортных средствах, указал её неверно или автомобили ему не принадлежат.</w:t>
      </w:r>
    </w:p>
    <w:p w14:paraId="4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Электронные перевозочные документы (ЭПД): обязательный переход</w:t>
      </w:r>
    </w:p>
    <w:p w14:paraId="4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1 сентября 2026 года заключение договора перевозки груза подтверждается транспортной накладной, формируемой исключительно в электронном виде. Бумажные накладные утратили силу для коммерческих перевозок.</w:t>
      </w:r>
    </w:p>
    <w:p w14:paraId="42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Важно: переход на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 xml:space="preserve"> не отменяется до 1 марта 2027 года. Обязанность формировать электронную накладную действует с 1 сентября 2026 года. Переходный период не освобождает от этой обязанности.</w:t>
      </w:r>
    </w:p>
    <w:p w14:paraId="4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меняется для налогового учёта: с 1 сентября 2026 года налоговая не принимает бумажные накладные для подтверждения расходов и вычета НДС. Если вы оформите перевозку на бумаге — расходы не засчитают, НДС к вычету не примут.</w:t>
      </w:r>
    </w:p>
    <w:p w14:paraId="44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Переходный период до 1 марта 2027 года: что он означает</w:t>
      </w:r>
    </w:p>
    <w:p w14:paraId="45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1 марта 2027 года действует «нештрафуемый период» на дороге. Если инспектор ГИБДД остановит машину, и у водителя будет бумажная накладная вместо электронной, это ограничится устным замечанием.</w:t>
      </w:r>
    </w:p>
    <w:p w14:paraId="46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Важно понимать:</w:t>
      </w:r>
    </w:p>
    <w:p w14:paraId="47000000">
      <w:pPr>
        <w:widowControl w:val="1"/>
        <w:numPr>
          <w:ilvl w:val="0"/>
          <w:numId w:val="8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Это не отсрочка перехода на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>, а лишь временный мораторий на дорожные штрафы за неверный формат документа.</w:t>
      </w:r>
    </w:p>
    <w:p w14:paraId="48000000">
      <w:pPr>
        <w:widowControl w:val="1"/>
        <w:numPr>
          <w:ilvl w:val="0"/>
          <w:numId w:val="8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Налоговые риски действуют с первого дня обязательности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 xml:space="preserve"> — с 1 сентября 2026 года.</w:t>
      </w:r>
    </w:p>
    <w:p w14:paraId="4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у водителя нет никакой накладной (ни электронной, ни бумажной) — это уже другое правонарушение. Согласно ч. 2 ст. 12.3 КоАП РФ, это влечёт предупреждение или штраф в размере 500 рублей для водителя (1 500 рублей для должностного лица).</w:t>
      </w:r>
    </w:p>
    <w:p w14:paraId="4A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1 марта 2027 года начнут действовать штрафы за отсутствие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 xml:space="preserve"> по ст. 11.14.3 КоАП РФ:</w:t>
      </w:r>
    </w:p>
    <w:p w14:paraId="4B000000">
      <w:pPr>
        <w:widowControl w:val="1"/>
        <w:numPr>
          <w:ilvl w:val="0"/>
          <w:numId w:val="9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ИП — от 25 000 до 50 000 рублей;</w:t>
      </w:r>
    </w:p>
    <w:p w14:paraId="4C000000">
      <w:pPr>
        <w:widowControl w:val="1"/>
        <w:numPr>
          <w:ilvl w:val="0"/>
          <w:numId w:val="9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юридических лиц — от 100 000 до 300 000 рублей.</w:t>
      </w:r>
    </w:p>
    <w:p w14:paraId="4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Какие документы с 1 сентября 2026 года подлежат обязательному формированию в электронном виде</w:t>
      </w:r>
    </w:p>
    <w:p w14:paraId="4E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1 сентября 2026 года в электронном виде формируются:</w:t>
      </w:r>
    </w:p>
    <w:p w14:paraId="4F000000">
      <w:pPr>
        <w:widowControl w:val="1"/>
        <w:numPr>
          <w:ilvl w:val="0"/>
          <w:numId w:val="10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транспортная накладная (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>);</w:t>
      </w:r>
    </w:p>
    <w:p w14:paraId="50000000">
      <w:pPr>
        <w:widowControl w:val="1"/>
        <w:numPr>
          <w:ilvl w:val="0"/>
          <w:numId w:val="10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заказ (заявка) при автомобильных перевозках;</w:t>
      </w:r>
    </w:p>
    <w:p w14:paraId="51000000">
      <w:pPr>
        <w:widowControl w:val="1"/>
        <w:numPr>
          <w:ilvl w:val="0"/>
          <w:numId w:val="10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транспортная железнодорожная накладная;</w:t>
      </w:r>
    </w:p>
    <w:p w14:paraId="52000000">
      <w:pPr>
        <w:widowControl w:val="1"/>
        <w:numPr>
          <w:ilvl w:val="0"/>
          <w:numId w:val="10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грузовая накладная при воздушных перевозках;</w:t>
      </w:r>
    </w:p>
    <w:p w14:paraId="53000000">
      <w:pPr>
        <w:widowControl w:val="1"/>
        <w:numPr>
          <w:ilvl w:val="0"/>
          <w:numId w:val="10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экспедиторские документы.</w:t>
      </w:r>
    </w:p>
    <w:p w14:paraId="54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Случаи, при которых указанные документы оформляются на бумажном носителе, установлены приказами Минтранса России. В частности, приказ Минтранса России от 03.04.2026 № 115 определяет исчерпывающий перечень случаев для оформления экспедиторских документов на бумаге: перевозки для нужд обороны, в зонах ЧС, при отсутствии технической возможности у клиента или экспедитора, для личных нужд физических лиц, а также если клиентом выступает иностранное лицо.</w:t>
      </w:r>
    </w:p>
    <w:p w14:paraId="55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Кто и как подписывает </w:t>
      </w:r>
      <w:r>
        <w:rPr>
          <w:rFonts w:ascii="Times New Roman" w:hAnsi="Times New Roman"/>
          <w:sz w:val="28"/>
        </w:rPr>
        <w:t>ЭТрН</w:t>
      </w: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547"/>
        <w:gridCol w:w="3427"/>
        <w:gridCol w:w="3519"/>
      </w:tblGrid>
      <w:tr>
        <w:trPr>
          <w:tblHeader/>
        </w:trPr>
        <w:tc>
          <w:tcPr>
            <w:tcW w:type="dxa" w:w="2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6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Участник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7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Что подписывает</w:t>
            </w:r>
          </w:p>
        </w:tc>
        <w:tc>
          <w:tcPr>
            <w:tcW w:type="dxa" w:w="3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8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Чем подписывает</w:t>
            </w:r>
          </w:p>
        </w:tc>
      </w:tr>
      <w:tr>
        <w:tc>
          <w:tcPr>
            <w:tcW w:type="dxa" w:w="2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9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Грузоотправитель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A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Титул Т1</w:t>
            </w:r>
          </w:p>
        </w:tc>
        <w:tc>
          <w:tcPr>
            <w:tcW w:type="dxa" w:w="3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B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КЭП</w:t>
            </w:r>
          </w:p>
        </w:tc>
      </w:tr>
      <w:tr>
        <w:tc>
          <w:tcPr>
            <w:tcW w:type="dxa" w:w="2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C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Водитель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5D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Отметка о погрузке и выгрузке</w:t>
            </w:r>
          </w:p>
        </w:tc>
        <w:tc>
          <w:tcPr>
            <w:tcW w:type="dxa" w:w="3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E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ПЭП (простая подпись в приложении)</w:t>
            </w:r>
          </w:p>
        </w:tc>
      </w:tr>
      <w:tr>
        <w:tc>
          <w:tcPr>
            <w:tcW w:type="dxa" w:w="2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F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Перевозчик (логист или руководитель)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0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Титулы Т2 и Т4</w:t>
            </w:r>
          </w:p>
        </w:tc>
        <w:tc>
          <w:tcPr>
            <w:tcW w:type="dxa" w:w="3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61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КЭП</w:t>
            </w:r>
          </w:p>
        </w:tc>
      </w:tr>
      <w:tr>
        <w:tc>
          <w:tcPr>
            <w:tcW w:type="dxa" w:w="2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62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Грузополучатель</w:t>
            </w:r>
          </w:p>
        </w:tc>
        <w:tc>
          <w:tcPr>
            <w:tcW w:type="dxa" w:w="34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63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Титул Т3</w:t>
            </w:r>
          </w:p>
        </w:tc>
        <w:tc>
          <w:tcPr>
            <w:tcW w:type="dxa" w:w="3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64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КЭП</w:t>
            </w:r>
          </w:p>
        </w:tc>
      </w:tr>
    </w:tbl>
    <w:p w14:paraId="65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Важно: водитель не подписывает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>. Он лишь подтверждает факт погрузки и выгрузки простой отметкой в мобильном приложении. Финальную юридическую силу документам придаёт подпись уполномоченного сотрудника перевозчика с КЭП. Если водитель — ИП, он сам подписывает Т2 и Т4 своей КЭП.</w:t>
      </w:r>
    </w:p>
    <w:p w14:paraId="66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Технические аспекты и работа без интернета</w:t>
      </w:r>
    </w:p>
    <w:p w14:paraId="67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 водитель предъявляет ЭПД при проверке? Водитель вправе предъявить документ в виде электронного документа (на устройстве) или его копии в бумажном виде.</w:t>
      </w:r>
    </w:p>
    <w:p w14:paraId="68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делать при нестабильном доступе к интернету? Это не должно препятствовать оформлению ЭПД. Документы могут быть сформированы в иной точке и переданы водителю для предъявления при проверке. QR-код, сформированный в мобильном приложении, сохраняется в кэш-памяти телефона и доступен даже без интернета. QR-код является динамическим (анимированным), поэтому скриншоты и фотографии недействительны.</w:t>
      </w:r>
    </w:p>
    <w:p w14:paraId="6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Можно ли формировать «черновики» ЭПД в ГИС ЭПД? Нет. Правилами обмена ЭПД направление «черновиков» в ГИС ЭПД не предусмотрено.</w:t>
      </w:r>
    </w:p>
    <w:p w14:paraId="6A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Можно ли отозвать или аннулировать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 xml:space="preserve"> после принятия в ГИС ЭПД? Нет. Процедура отзыва или аннулирования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>, принятой ГИС ЭПД, Правилами не предусмотрена.</w:t>
      </w:r>
    </w:p>
    <w:p w14:paraId="6B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Практические рекомендации для перевозчиков</w:t>
      </w:r>
    </w:p>
    <w:p w14:paraId="6C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делать уже сейчас (до 1 марта 2027 года):</w:t>
      </w:r>
    </w:p>
    <w:p w14:paraId="6D000000">
      <w:pPr>
        <w:widowControl w:val="1"/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Проверить соответствие требованиям для регистрации в реестре (отсутствие судимости у руководителя, отсутствие серьёзных административных нарушений).</w:t>
      </w:r>
    </w:p>
    <w:p w14:paraId="6E000000">
      <w:pPr>
        <w:widowControl w:val="1"/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Оформить УКЭП на руководителя или уполномоченное лицо.</w:t>
      </w:r>
    </w:p>
    <w:p w14:paraId="6F000000">
      <w:pPr>
        <w:widowControl w:val="1"/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Подготовить сведения о транспортных средствах и специалистах по БДД.</w:t>
      </w:r>
    </w:p>
    <w:p w14:paraId="70000000">
      <w:pPr>
        <w:widowControl w:val="1"/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Подключиться к оператору ЭДО для работы с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>.</w:t>
      </w:r>
    </w:p>
    <w:p w14:paraId="71000000">
      <w:pPr>
        <w:widowControl w:val="1"/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Провести обучение водителей работе с мобильным приложением для подписания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>.</w:t>
      </w:r>
    </w:p>
    <w:p w14:paraId="72000000">
      <w:pPr>
        <w:widowControl w:val="1"/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Уведомить контрагентов о переходе на электронный документооборот.</w:t>
      </w:r>
    </w:p>
    <w:p w14:paraId="7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изменится после 1 марта 2027 года:</w:t>
      </w:r>
    </w:p>
    <w:p w14:paraId="74000000">
      <w:pPr>
        <w:widowControl w:val="1"/>
        <w:numPr>
          <w:ilvl w:val="0"/>
          <w:numId w:val="12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Регистрация в реестре перевозчиков станет обязательной.</w:t>
      </w:r>
    </w:p>
    <w:p w14:paraId="75000000">
      <w:pPr>
        <w:widowControl w:val="1"/>
        <w:numPr>
          <w:ilvl w:val="0"/>
          <w:numId w:val="12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Начнут действовать штрафы за отсутствие </w:t>
      </w:r>
      <w:r>
        <w:rPr>
          <w:rFonts w:ascii="Times New Roman" w:hAnsi="Times New Roman"/>
          <w:sz w:val="28"/>
        </w:rPr>
        <w:t>ЭТрН</w:t>
      </w:r>
      <w:r>
        <w:rPr>
          <w:rFonts w:ascii="Times New Roman" w:hAnsi="Times New Roman"/>
          <w:sz w:val="28"/>
        </w:rPr>
        <w:t>.</w:t>
      </w:r>
    </w:p>
    <w:p w14:paraId="76000000">
      <w:pPr>
        <w:widowControl w:val="1"/>
        <w:numPr>
          <w:ilvl w:val="0"/>
          <w:numId w:val="12"/>
        </w:num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без регистрации в реестре будет являться нарушением.</w:t>
      </w:r>
    </w:p>
    <w:p w14:paraId="77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 для договоров: если договор перевозки заключён без допуска (отсутствует запись в реестре), суд сможет признать сделку недействительной по требованию отправителя груза. Исключение — ситуации, когда стороны уже исполнили договор.</w:t>
      </w:r>
    </w:p>
    <w:p w14:paraId="78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Заключение</w:t>
      </w:r>
    </w:p>
    <w:p w14:paraId="7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Платформа «</w:t>
      </w:r>
      <w:r>
        <w:rPr>
          <w:rFonts w:ascii="Times New Roman" w:hAnsi="Times New Roman"/>
          <w:sz w:val="28"/>
        </w:rPr>
        <w:t>ГосЛог</w:t>
      </w:r>
      <w:r>
        <w:rPr>
          <w:rFonts w:ascii="Times New Roman" w:hAnsi="Times New Roman"/>
          <w:sz w:val="28"/>
        </w:rPr>
        <w:t>» — это ключевой инструмент цифровизации транспортной отрасли, который поэтапно становится обязательным для всех участников рынка грузоперевозок. Для перевозчиков, использующих транспорт свыше 3,5 тонн для коммерческих перевозок, регистрация в реестре с 1 марта 2027 года станет обязательным условием для законного осуществления деятельности. Своевременная подготовка позволит избежать штрафов и обеспечит беспрепятственное осуществление перевозочной деятельности.</w:t>
      </w:r>
    </w:p>
    <w:sectPr>
      <w:pgSz w:h="16838" w:orient="portrait" w:w="11906"/>
      <w:pgMar w:bottom="851" w:footer="708" w:gutter="0" w:header="708" w:left="1560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0">
    <w:lvl w:ilvl="0">
      <w:start w:val="1"/>
      <w:numFmt w:val="decimal"/>
      <w:lvlText w:val="%1."/>
      <w:lvlJc w:val="left"/>
      <w:pPr>
        <w:widowControl w:val="1"/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abstractNum w:abstractNumId="11">
    <w:lvl w:ilvl="0">
      <w:start w:val="1"/>
      <w:numFmt w:val="decimal"/>
      <w:lvlText w:val="%1."/>
      <w:lvlJc w:val="left"/>
      <w:pPr>
        <w:widowControl w:val="1"/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heading 7"/>
    <w:basedOn w:val="Style_2"/>
    <w:next w:val="Style_2"/>
    <w:link w:val="Style_5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5_ch" w:type="character">
    <w:name w:val="heading 7"/>
    <w:basedOn w:val="Style_2_ch"/>
    <w:link w:val="Style_5"/>
    <w:rPr>
      <w:color w:themeColor="text1" w:themeTint="A6" w:val="595959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List Paragraph"/>
    <w:basedOn w:val="Style_2"/>
    <w:link w:val="Style_8_ch"/>
    <w:pPr>
      <w:widowControl w:val="1"/>
      <w:ind w:left="720"/>
      <w:contextualSpacing w:val="1"/>
    </w:pPr>
  </w:style>
  <w:style w:styleId="Style_8_ch" w:type="character">
    <w:name w:val="List Paragraph"/>
    <w:basedOn w:val="Style_2_ch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basedOn w:val="Style_2"/>
    <w:next w:val="Style_2"/>
    <w:link w:val="Style_10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0_ch" w:type="character">
    <w:name w:val="heading 3"/>
    <w:basedOn w:val="Style_2_ch"/>
    <w:link w:val="Style_10"/>
    <w:rPr>
      <w:color w:themeColor="accent1" w:themeShade="BF" w:val="2F5496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Intense Quote"/>
    <w:basedOn w:val="Style_2"/>
    <w:next w:val="Style_2"/>
    <w:link w:val="Style_12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12_ch" w:type="character">
    <w:name w:val="Intense Quote"/>
    <w:basedOn w:val="Style_2_ch"/>
    <w:link w:val="Style_12"/>
    <w:rPr>
      <w:i w:val="1"/>
      <w:color w:themeColor="accent1" w:themeShade="BF" w:val="2F5496"/>
    </w:rPr>
  </w:style>
  <w:style w:styleId="Style_13" w:type="paragraph">
    <w:name w:val="heading 9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3_ch" w:type="character">
    <w:name w:val="heading 9"/>
    <w:basedOn w:val="Style_2_ch"/>
    <w:link w:val="Style_13"/>
    <w:rPr>
      <w:color w:themeColor="text1" w:themeTint="D8" w:val="272727"/>
    </w:rPr>
  </w:style>
  <w:style w:styleId="Style_14" w:type="paragraph">
    <w:name w:val="Intense Emphasis"/>
    <w:basedOn w:val="Style_11"/>
    <w:link w:val="Style_14_ch"/>
    <w:rPr>
      <w:i w:val="1"/>
      <w:color w:themeColor="accent1" w:themeShade="BF" w:val="2F5496"/>
    </w:rPr>
  </w:style>
  <w:style w:styleId="Style_14_ch" w:type="character">
    <w:name w:val="Intense Emphasis"/>
    <w:basedOn w:val="Style_11_ch"/>
    <w:link w:val="Style_14"/>
    <w:rPr>
      <w:i w:val="1"/>
      <w:color w:themeColor="accent1" w:themeShade="BF" w:val="2F5496"/>
    </w:rPr>
  </w:style>
  <w:style w:styleId="Style_15" w:type="paragraph">
    <w:name w:val="toc 3"/>
    <w:next w:val="Style_2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basedOn w:val="Style_2"/>
    <w:next w:val="Style_2"/>
    <w:link w:val="Style_16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6_ch" w:type="character">
    <w:name w:val="heading 5"/>
    <w:basedOn w:val="Style_2_ch"/>
    <w:link w:val="Style_16"/>
    <w:rPr>
      <w:color w:themeColor="accent1" w:themeShade="BF" w:val="2F5496"/>
    </w:rPr>
  </w:style>
  <w:style w:styleId="Style_17" w:type="paragraph">
    <w:name w:val="heading 1"/>
    <w:basedOn w:val="Style_2"/>
    <w:next w:val="Style_2"/>
    <w:link w:val="Style_17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7_ch" w:type="character">
    <w:name w:val="heading 1"/>
    <w:basedOn w:val="Style_2_ch"/>
    <w:link w:val="Style_17"/>
    <w:rPr>
      <w:rFonts w:asciiTheme="majorAscii" w:hAnsiTheme="majorHAnsi"/>
      <w:color w:themeColor="accent1" w:themeShade="BF" w:val="2F5496"/>
      <w:sz w:val="40"/>
    </w:rPr>
  </w:style>
  <w:style w:styleId="Style_18" w:type="paragraph">
    <w:name w:val="Hyperlink"/>
    <w:basedOn w:val="Style_11"/>
    <w:link w:val="Style_18_ch"/>
    <w:rPr>
      <w:color w:themeColor="hyperlink" w:val="0563C1"/>
      <w:u w:val="single"/>
    </w:rPr>
  </w:style>
  <w:style w:styleId="Style_18_ch" w:type="character">
    <w:name w:val="Hyperlink"/>
    <w:basedOn w:val="Style_11_ch"/>
    <w:link w:val="Style_18"/>
    <w:rPr>
      <w:color w:themeColor="hyperlink" w:val="0563C1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2"/>
    <w:next w:val="Style_2"/>
    <w:link w:val="Style_20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2_ch"/>
    <w:link w:val="Style_20"/>
    <w:rPr>
      <w:i w:val="1"/>
      <w:color w:themeColor="text1" w:themeTint="D8" w:val="272727"/>
    </w:rPr>
  </w:style>
  <w:style w:styleId="Style_21" w:type="paragraph">
    <w:name w:val="toc 1"/>
    <w:next w:val="Style_2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Intense Reference"/>
    <w:basedOn w:val="Style_11"/>
    <w:link w:val="Style_23_ch"/>
    <w:rPr>
      <w:b w:val="1"/>
      <w:smallCaps w:val="1"/>
      <w:color w:themeColor="accent1" w:themeShade="BF" w:val="2F5496"/>
      <w:spacing w:val="5"/>
    </w:rPr>
  </w:style>
  <w:style w:styleId="Style_23_ch" w:type="character">
    <w:name w:val="Intense Reference"/>
    <w:basedOn w:val="Style_11_ch"/>
    <w:link w:val="Style_23"/>
    <w:rPr>
      <w:b w:val="1"/>
      <w:smallCaps w:val="1"/>
      <w:color w:themeColor="accent1" w:themeShade="BF" w:val="2F5496"/>
      <w:spacing w:val="5"/>
    </w:rPr>
  </w:style>
  <w:style w:styleId="Style_24" w:type="paragraph">
    <w:name w:val="toc 9"/>
    <w:next w:val="Style_2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Unresolved Mention"/>
    <w:basedOn w:val="Style_11"/>
    <w:link w:val="Style_26_ch"/>
    <w:rPr>
      <w:color w:val="605E5C"/>
      <w:shd w:fill="E1DFDD" w:val="clear"/>
    </w:rPr>
  </w:style>
  <w:style w:styleId="Style_26_ch" w:type="character">
    <w:name w:val="Unresolved Mention"/>
    <w:basedOn w:val="Style_11_ch"/>
    <w:link w:val="Style_26"/>
    <w:rPr>
      <w:color w:val="605E5C"/>
      <w:shd w:fill="E1DFDD" w:val="clear"/>
    </w:rPr>
  </w:style>
  <w:style w:styleId="Style_27" w:type="paragraph">
    <w:name w:val="toc 5"/>
    <w:next w:val="Style_2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Quote"/>
    <w:basedOn w:val="Style_2"/>
    <w:next w:val="Style_2"/>
    <w:link w:val="Style_28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8_ch" w:type="character">
    <w:name w:val="Quote"/>
    <w:basedOn w:val="Style_2_ch"/>
    <w:link w:val="Style_28"/>
    <w:rPr>
      <w:i w:val="1"/>
      <w:color w:themeColor="text1" w:themeTint="BF" w:val="404040"/>
    </w:rPr>
  </w:style>
  <w:style w:styleId="Style_29" w:type="paragraph">
    <w:name w:val="Subtitle"/>
    <w:basedOn w:val="Style_2"/>
    <w:next w:val="Style_2"/>
    <w:link w:val="Style_29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9_ch" w:type="character">
    <w:name w:val="Subtitle"/>
    <w:basedOn w:val="Style_2_ch"/>
    <w:link w:val="Style_29"/>
    <w:rPr>
      <w:color w:themeColor="text1" w:themeTint="A6" w:val="595959"/>
      <w:spacing w:val="15"/>
      <w:sz w:val="28"/>
    </w:rPr>
  </w:style>
  <w:style w:styleId="Style_30" w:type="paragraph">
    <w:name w:val="Title"/>
    <w:basedOn w:val="Style_2"/>
    <w:next w:val="Style_2"/>
    <w:link w:val="Style_30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30_ch" w:type="character">
    <w:name w:val="Title"/>
    <w:basedOn w:val="Style_2_ch"/>
    <w:link w:val="Style_30"/>
    <w:rPr>
      <w:rFonts w:asciiTheme="majorAscii" w:hAnsiTheme="majorHAnsi"/>
      <w:spacing w:val="-10"/>
      <w:sz w:val="56"/>
    </w:rPr>
  </w:style>
  <w:style w:styleId="Style_31" w:type="paragraph">
    <w:name w:val="heading 4"/>
    <w:basedOn w:val="Style_2"/>
    <w:next w:val="Style_2"/>
    <w:link w:val="Style_31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31_ch" w:type="character">
    <w:name w:val="heading 4"/>
    <w:basedOn w:val="Style_2_ch"/>
    <w:link w:val="Style_31"/>
    <w:rPr>
      <w:i w:val="1"/>
      <w:color w:themeColor="accent1" w:themeShade="BF" w:val="2F5496"/>
    </w:rPr>
  </w:style>
  <w:style w:styleId="Style_32" w:type="paragraph">
    <w:name w:val="heading 2"/>
    <w:basedOn w:val="Style_2"/>
    <w:next w:val="Style_2"/>
    <w:link w:val="Style_32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2_ch" w:type="character">
    <w:name w:val="heading 2"/>
    <w:basedOn w:val="Style_2_ch"/>
    <w:link w:val="Style_32"/>
    <w:rPr>
      <w:rFonts w:asciiTheme="majorAscii" w:hAnsiTheme="majorHAnsi"/>
      <w:color w:themeColor="accent1" w:themeShade="BF" w:val="2F5496"/>
      <w:sz w:val="32"/>
    </w:rPr>
  </w:style>
  <w:style w:styleId="Style_33" w:type="paragraph">
    <w:name w:val="heading 6"/>
    <w:basedOn w:val="Style_2"/>
    <w:next w:val="Style_2"/>
    <w:link w:val="Style_33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3_ch" w:type="character">
    <w:name w:val="heading 6"/>
    <w:basedOn w:val="Style_2_ch"/>
    <w:link w:val="Style_33"/>
    <w:rPr>
      <w:i w:val="1"/>
      <w:color w:themeColor="text1" w:themeTint="A6" w:val="595959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2026-09-22T13:55:00Z</dcterms:created>
  <dcterms:modified xsi:type="dcterms:W3CDTF">2026-09-22T13:55:00Z</dcterms:modified>
</cp:coreProperties>
</file>